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14. REGULATION OF MOTOR VEHICLES AND TRANSPORTATION</w:t>
      </w:r>
    </w:p>
    <w:p w:rsidR="003F3435" w:rsidRDefault="0032493E">
      <w:pPr>
        <w:spacing w:line="480" w:lineRule="auto"/>
        <w:jc w:val="center"/>
      </w:pPr>
      <w:r>
        <w:t xml:space="preserve">SUBTITLE A. REGULATIONS RELATED TO MOTOR VEHICLES</w:t>
      </w:r>
    </w:p>
    <w:p w:rsidR="003F3435" w:rsidRDefault="0032493E">
      <w:pPr>
        <w:spacing w:line="480" w:lineRule="auto"/>
        <w:jc w:val="center"/>
      </w:pPr>
      <w:r>
        <w:t xml:space="preserve">CHAPTER 2311A.  ELECTRIC VEHICLE CHARGING STATIONS</w:t>
      </w:r>
    </w:p>
    <w:p w:rsidR="003F3435" w:rsidRDefault="0032493E">
      <w:pPr>
        <w:spacing w:line="480" w:lineRule="auto"/>
        <w:jc w:val="both"/>
      </w:pPr>
    </w:p>
    <w:p w:rsidR="003F3435" w:rsidRDefault="0032493E">
      <w:pPr>
        <w:spacing w:line="480" w:lineRule="auto"/>
        <w:ind w:firstLine="720"/>
        <w:jc w:val="both"/>
      </w:pPr>
      <w:r>
        <w:t xml:space="preserve">Sec. 2311A.001.</w:t>
      </w:r>
      <w:r xml:space="preserve">
        <w:t> </w:t>
      </w:r>
      <w:r xml:space="preserve">
        <w:t> </w:t>
      </w:r>
      <w:r>
        <w:t xml:space="preserve">ELECTRIC VEHICLE CHARGING STATION STANDARDS.  (a)</w:t>
      </w:r>
      <w:r xml:space="preserve">
        <w:t> </w:t>
      </w:r>
      <w:r xml:space="preserve">
        <w:t> </w:t>
      </w:r>
      <w:r>
        <w:t xml:space="preserve">This section applies only to an electric vehicle charging station that is:</w:t>
      </w:r>
    </w:p>
    <w:p w:rsidR="003F3435" w:rsidRDefault="0032493E">
      <w:pPr>
        <w:spacing w:line="480" w:lineRule="auto"/>
        <w:ind w:firstLine="1440"/>
        <w:jc w:val="both"/>
      </w:pPr>
      <w:r>
        <w:t xml:space="preserve">(1)</w:t>
      </w:r>
      <w:r xml:space="preserve">
        <w:t> </w:t>
      </w:r>
      <w:r xml:space="preserve">
        <w:t> </w:t>
      </w:r>
      <w:r>
        <w:t xml:space="preserve">installed after December 1, 2024;</w:t>
      </w:r>
    </w:p>
    <w:p w:rsidR="003F3435" w:rsidRDefault="0032493E">
      <w:pPr>
        <w:spacing w:line="480" w:lineRule="auto"/>
        <w:ind w:firstLine="1440"/>
        <w:jc w:val="both"/>
      </w:pPr>
      <w:r>
        <w:t xml:space="preserve">(2)</w:t>
      </w:r>
      <w:r xml:space="preserve">
        <w:t> </w:t>
      </w:r>
      <w:r xml:space="preserve">
        <w:t> </w:t>
      </w:r>
      <w:r>
        <w:t xml:space="preserve">made available to the public;</w:t>
      </w:r>
    </w:p>
    <w:p w:rsidR="003F3435" w:rsidRDefault="0032493E">
      <w:pPr>
        <w:spacing w:line="480" w:lineRule="auto"/>
        <w:ind w:firstLine="1440"/>
        <w:jc w:val="both"/>
      </w:pPr>
      <w:r>
        <w:t xml:space="preserve">(3)</w:t>
      </w:r>
      <w:r xml:space="preserve">
        <w:t> </w:t>
      </w:r>
      <w:r xml:space="preserve">
        <w:t> </w:t>
      </w:r>
      <w:r>
        <w:t xml:space="preserve">not intended primarily for private use; and</w:t>
      </w:r>
    </w:p>
    <w:p w:rsidR="003F3435" w:rsidRDefault="0032493E">
      <w:pPr>
        <w:spacing w:line="480" w:lineRule="auto"/>
        <w:ind w:firstLine="1440"/>
        <w:jc w:val="both"/>
      </w:pPr>
      <w:r>
        <w:t xml:space="preserve">(4)</w:t>
      </w:r>
      <w:r xml:space="preserve">
        <w:t> </w:t>
      </w:r>
      <w:r xml:space="preserve">
        <w:t> </w:t>
      </w:r>
      <w:r>
        <w:t xml:space="preserve">funded through public grants or state rebate programs.</w:t>
      </w:r>
    </w:p>
    <w:p w:rsidR="003F3435" w:rsidRDefault="0032493E">
      <w:pPr>
        <w:spacing w:line="480" w:lineRule="auto"/>
        <w:ind w:firstLine="720"/>
        <w:jc w:val="both"/>
      </w:pPr>
      <w:r>
        <w:t xml:space="preserve">(b)</w:t>
      </w:r>
      <w:r xml:space="preserve">
        <w:t> </w:t>
      </w:r>
      <w:r xml:space="preserve">
        <w:t> </w:t>
      </w:r>
      <w:r>
        <w:t xml:space="preserve">The Texas Department of Licensing and Regulation, in consultation with the Texas Department of Transportation, shall adopt standards for electric vehicle charging stations that require the charging stations to be equipped with a standard electric vehicle charging connector or plug type that is widely compatible with as many electric vehicles as practicable.</w:t>
      </w:r>
    </w:p>
    <w:p w:rsidR="003F3435" w:rsidRDefault="0032493E">
      <w:pPr>
        <w:spacing w:line="480" w:lineRule="auto"/>
        <w:jc w:val="both"/>
      </w:pPr>
      <w:r>
        <w:t xml:space="preserve">Added by Acts 2023, 88th Leg., R.S., Ch. 1153 (S.B. </w:t>
      </w:r>
      <w:hyperlink w:docLocation="table" r:id="rId14">
        <w:r>
          <w:rPr>
            <w:rStyle w:val="Hyperlink"/>
          </w:rPr>
          <w:t>1001</w:t>
        </w:r>
      </w:hyperlink>
      <w:r>
        <w:t xml:space="preserve">), Sec. 1, eff. June 18, 2023.</w:t>
      </w:r>
    </w:p>
    <w:p w:rsidR="003F3435" w:rsidRDefault="0032493E">
      <w:pPr>
        <w:spacing w:line="480" w:lineRule="auto"/>
        <w:jc w:val="both"/>
      </w:pPr>
      <w:r>
        <w:t xml:space="preserve">Redesignated from Occupations Code, Chapter </w:t>
      </w:r>
      <w:r>
        <w:t xml:space="preserve">2311</w:t>
      </w:r>
      <w:r>
        <w:t xml:space="preserve"> by Acts 2025, 89th Leg., R.S., Ch. 204 (H.B. </w:t>
      </w:r>
      <w:hyperlink w:docLocation="table" r:id="rId15">
        <w:r>
          <w:rPr>
            <w:rStyle w:val="Hyperlink"/>
          </w:rPr>
          <w:t>1620</w:t>
        </w:r>
      </w:hyperlink>
      <w:r>
        <w:t xml:space="preserve">), Sec. 22.001(34),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1001F.HTM" TargetMode="External" Id="rId14" /><Relationship Type="http://schemas.openxmlformats.org/officeDocument/2006/relationships/hyperlink" Target="http://capitol.texas.gov/tlodocs/89R/billtext/html/HB01620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