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D. DENTISTRY</w:t>
      </w:r>
    </w:p>
    <w:p w:rsidR="003F3435" w:rsidRDefault="0032493E">
      <w:pPr>
        <w:spacing w:line="480" w:lineRule="auto"/>
        <w:jc w:val="center"/>
      </w:pPr>
      <w:r>
        <w:t xml:space="preserve">CHAPTER 252. STATE BOARD OF DENTAL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252.001.</w:t>
      </w:r>
      <w:r xml:space="preserve">
        <w:t> </w:t>
      </w:r>
      <w:r xml:space="preserve">
        <w:t> </w:t>
      </w:r>
      <w:r>
        <w:t xml:space="preserve">BOARD MEMBERSHIP.  (a)</w:t>
      </w:r>
      <w:r xml:space="preserve">
        <w:t> </w:t>
      </w:r>
      <w:r xml:space="preserve">
        <w:t> </w:t>
      </w:r>
      <w:r>
        <w:t xml:space="preserve">The State Board of Dental Examiners consists of 11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six reputable dentist members who reside in this state and have been actively engaged in the practice of dentistry for at least the five years preceding appointment;</w:t>
      </w:r>
    </w:p>
    <w:p w:rsidR="003F3435" w:rsidRDefault="0032493E">
      <w:pPr>
        <w:spacing w:line="480" w:lineRule="auto"/>
        <w:ind w:firstLine="1440"/>
        <w:jc w:val="both"/>
      </w:pPr>
      <w:r>
        <w:t xml:space="preserve">(2)</w:t>
      </w:r>
      <w:r xml:space="preserve">
        <w:t> </w:t>
      </w:r>
      <w:r xml:space="preserve">
        <w:t> </w:t>
      </w:r>
      <w:r>
        <w:t xml:space="preserve">three reputable dental hygienist members who reside in this state and have been actively engaged in the practice of dental hygiene for at least the five years preceding appointment; and</w:t>
      </w:r>
    </w:p>
    <w:p w:rsidR="003F3435" w:rsidRDefault="0032493E">
      <w:pPr>
        <w:spacing w:line="480" w:lineRule="auto"/>
        <w:ind w:firstLine="1440"/>
        <w:jc w:val="both"/>
      </w:pPr>
      <w:r>
        <w:t xml:space="preserve">(3)</w:t>
      </w:r>
      <w:r xml:space="preserve">
        <w:t> </w:t>
      </w:r>
      <w:r xml:space="preserve">
        <w:t> </w:t>
      </w:r>
      <w:r>
        <w:t xml:space="preserve">two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In making an appointment under this section, the governor shall attempt to appoint members of different minority groups, including females, African Americans, Hispanic Americans, Native Americans, and Asian Americans.</w:t>
      </w:r>
    </w:p>
    <w:p w:rsidR="003F3435" w:rsidRDefault="0032493E">
      <w:pPr>
        <w:spacing w:line="480" w:lineRule="auto"/>
        <w:jc w:val="both"/>
      </w:pPr>
      <w:r>
        <w:t xml:space="preserve">Acts 1999, 76th Leg., ch. 388, Sec. 1, eff. Sept. 1, 1999.  Amended by Acts 2003, 78th Leg., ch. 17, Sec. 2, eff. Sept. 1, 2003;  Acts 2003, 78th Leg., ch. 1170, Sec. 8.01,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4">
        <w:r>
          <w:rPr>
            <w:rStyle w:val="Hyperlink"/>
          </w:rPr>
          <w:t>313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252.002.</w:t>
      </w:r>
      <w:r xml:space="preserve">
        <w:t> </w:t>
      </w:r>
      <w:r xml:space="preserve">
        <w:t> </w:t>
      </w:r>
      <w:r>
        <w:t xml:space="preserve">MEMBER ELIGIBILITY.  (a)  A person is not eligible for appointment as a member if:</w:t>
      </w:r>
    </w:p>
    <w:p w:rsidR="003F3435" w:rsidRDefault="0032493E">
      <w:pPr>
        <w:spacing w:line="480" w:lineRule="auto"/>
        <w:ind w:firstLine="1440"/>
        <w:jc w:val="both"/>
      </w:pPr>
      <w:r>
        <w:t xml:space="preserve">(1)</w:t>
      </w:r>
      <w:r xml:space="preserve">
        <w:t> </w:t>
      </w:r>
      <w:r xml:space="preserve">
        <w:t> </w:t>
      </w:r>
      <w:r>
        <w:t xml:space="preserve">the person's license to practice dentistry or dental hygiene has been revoked by the board for a violation of a statute of this state relating to the practice of dentistry or dental hygiene and the revocation is not overturned by final order of a court;  or</w:t>
      </w:r>
    </w:p>
    <w:p w:rsidR="003F3435" w:rsidRDefault="0032493E">
      <w:pPr>
        <w:spacing w:line="480" w:lineRule="auto"/>
        <w:ind w:firstLine="1440"/>
        <w:jc w:val="both"/>
      </w:pPr>
      <w:r>
        <w:t xml:space="preserve">(2)</w:t>
      </w:r>
      <w:r xml:space="preserve">
        <w:t> </w:t>
      </w:r>
      <w:r xml:space="preserve">
        <w:t> </w:t>
      </w:r>
      <w:r>
        <w:t xml:space="preserve">the person is an adverse party in civil litigation against the board.</w:t>
      </w:r>
    </w:p>
    <w:p w:rsidR="003F3435" w:rsidRDefault="0032493E">
      <w:pPr>
        <w:spacing w:line="480" w:lineRule="auto"/>
        <w:ind w:firstLine="720"/>
        <w:jc w:val="both"/>
      </w:pPr>
      <w:r>
        <w:t xml:space="preserve">(b)</w:t>
      </w:r>
      <w:r xml:space="preserve">
        <w:t> </w:t>
      </w:r>
      <w:r xml:space="preserve">
        <w:t> </w:t>
      </w:r>
      <w:r>
        <w:t xml:space="preserve">A person is not eligible for appointment as a dentist or dental hygienist member of the board if the person</w:t>
      </w:r>
      <w:r xml:space="preserve">
        <w:t> </w:t>
      </w:r>
      <w:r xml:space="preserve">
        <w:t> </w:t>
      </w:r>
      <w:r>
        <w:t xml:space="preserve">has a financial interest in any dental, dental hygiene, or medical school.</w:t>
      </w:r>
    </w:p>
    <w:p w:rsidR="003F3435" w:rsidRDefault="0032493E">
      <w:pPr>
        <w:spacing w:line="480" w:lineRule="auto"/>
        <w:ind w:firstLine="720"/>
        <w:jc w:val="both"/>
      </w:pPr>
      <w:r>
        <w:t xml:space="preserve">(c)</w:t>
      </w:r>
      <w:r xml:space="preserve">
        <w:t> </w:t>
      </w:r>
      <w:r xml:space="preserve">
        <w:t> </w:t>
      </w:r>
      <w:r>
        <w:t xml:space="preserve">A person is not eligible for appointment as a dental hygienist member of the board if the person is licensed to practice dentistry in this state.</w:t>
      </w:r>
    </w:p>
    <w:p w:rsidR="003F3435" w:rsidRDefault="0032493E">
      <w:pPr>
        <w:spacing w:line="480" w:lineRule="auto"/>
        <w:ind w:firstLine="720"/>
        <w:jc w:val="both"/>
      </w:pPr>
      <w:r>
        <w:t xml:space="preserve">(d)</w:t>
      </w:r>
      <w:r xml:space="preserve">
        <w:t> </w:t>
      </w:r>
      <w:r xml:space="preserve">
        <w:t> </w:t>
      </w:r>
      <w:r>
        <w:t xml:space="preserve">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board;</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board, other than compensation or reimbursement authorized by law for board membership, attendance, or expenses;  or</w:t>
      </w:r>
    </w:p>
    <w:p w:rsidR="003F3435" w:rsidRDefault="0032493E">
      <w:pPr>
        <w:spacing w:line="480" w:lineRule="auto"/>
        <w:ind w:firstLine="1440"/>
        <w:jc w:val="both"/>
      </w:pPr>
      <w:r>
        <w:t xml:space="preserve">(5)</w:t>
      </w:r>
      <w:r xml:space="preserve">
        <w:t> </w:t>
      </w:r>
      <w:r xml:space="preserve">
        <w:t> </w:t>
      </w:r>
      <w:r>
        <w:t xml:space="preserve">is employed by a board member.</w:t>
      </w:r>
    </w:p>
    <w:p w:rsidR="003F3435" w:rsidRDefault="0032493E">
      <w:pPr>
        <w:spacing w:line="480" w:lineRule="auto"/>
        <w:jc w:val="both"/>
      </w:pPr>
      <w:r>
        <w:t xml:space="preserve">Acts 1999, 76th Leg., ch. 388, Sec. 1, eff. Sept. 1, 1999.  Amended by Acts 2003, 78th Leg., ch. 17,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772 (S.B. </w:t>
      </w:r>
      <w:hyperlink w:docLocation="table" r:id="rId15">
        <w:r>
          <w:rPr>
            <w:rStyle w:val="Hyperlink"/>
          </w:rPr>
          <w:t>887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252.003.</w:t>
      </w:r>
      <w:r xml:space="preserve">
        <w:t> </w:t>
      </w:r>
      <w:r xml:space="preserve">
        <w:t> </w:t>
      </w:r>
      <w:r>
        <w:t xml:space="preserve">MEMBERSHIP AND EMPLOYEE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serve as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  Amended by Acts 2001, 77th Leg., ch. 1420, Sec. 14.072(a),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6">
        <w:r>
          <w:rPr>
            <w:rStyle w:val="Hyperlink"/>
          </w:rPr>
          <w:t>313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252.004.</w:t>
      </w:r>
      <w:r xml:space="preserve">
        <w:t> </w:t>
      </w:r>
      <w:r xml:space="preserve">
        <w:t> </w:t>
      </w:r>
      <w:r>
        <w:t xml:space="preserve">TERMS OF OFFICE.  (a)  Members of the board serve staggered six-year terms.  The terms of one-third of the members expire February 1 of each odd-numbered year.</w:t>
      </w:r>
    </w:p>
    <w:p w:rsidR="003F3435" w:rsidRDefault="0032493E">
      <w:pPr>
        <w:spacing w:line="480" w:lineRule="auto"/>
        <w:ind w:firstLine="720"/>
        <w:jc w:val="both"/>
      </w:pPr>
      <w:r>
        <w:t xml:space="preserve">(b)</w:t>
      </w:r>
      <w:r xml:space="preserve">
        <w:t> </w:t>
      </w:r>
      <w:r xml:space="preserve">
        <w:t> </w:t>
      </w:r>
      <w:r>
        <w:t xml:space="preserve">A member may not serve more than two consecutive full terms.</w:t>
      </w:r>
      <w:r xml:space="preserve">
        <w:t> </w:t>
      </w:r>
      <w:r xml:space="preserve">
        <w:t> </w:t>
      </w:r>
      <w:r>
        <w:t xml:space="preserve">The completion of the unexpired portion of a term does not constitute service for a full term for purposes of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772 (S.B. </w:t>
      </w:r>
      <w:hyperlink w:docLocation="table" r:id="rId17">
        <w:r>
          <w:rPr>
            <w:rStyle w:val="Hyperlink"/>
          </w:rPr>
          <w:t>887</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252.005.</w:t>
      </w:r>
      <w:r xml:space="preserve">
        <w:t> </w:t>
      </w:r>
      <w:r xml:space="preserve">
        <w:t> </w:t>
      </w:r>
      <w:r>
        <w:t xml:space="preserve">PRIVILEGES OF OFFICE.  Members of the board have full and identical privileges, except that only dentist members may participate in the decision to pass or fail an applicant for a license to practice dentistry during the clinical portion of the board examinations.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252.006.</w:t>
      </w:r>
      <w:r xml:space="preserve">
        <w:t> </w:t>
      </w:r>
      <w:r xml:space="preserve">
        <w:t> </w:t>
      </w:r>
      <w:r>
        <w:t xml:space="preserve">OFFICERS.  (a)  The board shall elect a secretary from its members to serve for a one-year term.</w:t>
      </w:r>
    </w:p>
    <w:p w:rsidR="003F3435" w:rsidRDefault="0032493E">
      <w:pPr>
        <w:spacing w:line="480" w:lineRule="auto"/>
        <w:ind w:firstLine="720"/>
        <w:jc w:val="both"/>
      </w:pPr>
      <w:r>
        <w:t xml:space="preserve">(b)</w:t>
      </w:r>
      <w:r xml:space="preserve">
        <w:t> </w:t>
      </w:r>
      <w:r xml:space="preserve">
        <w:t> </w:t>
      </w:r>
      <w:r>
        <w:t xml:space="preserve">The governor shall designate a member of the board as the presiding officer of the board to serve in that capacity at the will of the governor.  The presiding officer must be a dentist.</w:t>
      </w:r>
    </w:p>
    <w:p w:rsidR="003F3435" w:rsidRDefault="0032493E">
      <w:pPr>
        <w:spacing w:line="480" w:lineRule="auto"/>
        <w:jc w:val="both"/>
      </w:pPr>
      <w:r>
        <w:t xml:space="preserve">Acts 1999, 76th Leg., ch. 388, Sec. 1, eff. Sept. 1, 1999.  Amended by Acts 2003, 78th Leg., ch. 17,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252.007.</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Sections </w:t>
      </w:r>
      <w:r>
        <w:t xml:space="preserve">252.001</w:t>
      </w:r>
      <w:r>
        <w:t xml:space="preserve"> and </w:t>
      </w:r>
      <w:r>
        <w:t xml:space="preserve">252.002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the service on the board the qualifications required by Sections </w:t>
      </w:r>
      <w:r>
        <w:t xml:space="preserve">252.001</w:t>
      </w:r>
      <w:r>
        <w:t xml:space="preserve"> and </w:t>
      </w:r>
      <w:r>
        <w:t xml:space="preserve">252.002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252.003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the action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Acts 1999, 76th Leg., ch. 388, Sec. 1, eff. Sept. 1, 1999.  Amended by Acts 2003, 78th Leg., ch. 17,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252.008.</w:t>
      </w:r>
      <w:r xml:space="preserve">
        <w:t> </w:t>
      </w:r>
      <w:r xml:space="preserve">
        <w:t> </w:t>
      </w:r>
      <w:r>
        <w:t xml:space="preserve">PER DIEM;  REIMBURSEMENT.  (a)  Each board member is entitled to a per diem set by legislative appropriation for each day the member engages in board business.</w:t>
      </w:r>
    </w:p>
    <w:p w:rsidR="003F3435" w:rsidRDefault="0032493E">
      <w:pPr>
        <w:spacing w:line="480" w:lineRule="auto"/>
        <w:ind w:firstLine="720"/>
        <w:jc w:val="both"/>
      </w:pPr>
      <w:r>
        <w:t xml:space="preserve">(b)</w:t>
      </w:r>
      <w:r xml:space="preserve">
        <w:t> </w:t>
      </w:r>
      <w:r xml:space="preserve">
        <w:t> </w:t>
      </w:r>
      <w:r>
        <w:t xml:space="preserve">A board member may receive reimbursement for travel expenses, including expenses for meals and lodging, incurred in performing an official duty as prescribed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252.009.</w:t>
      </w:r>
      <w:r xml:space="preserve">
        <w:t> </w:t>
      </w:r>
      <w:r xml:space="preserve">
        <w:t> </w:t>
      </w:r>
      <w:r>
        <w:t xml:space="preserve">MEETINGS.  The board shall hold meetings at least twice a year at times and places the board determines are most convenient for applicants for examination.</w:t>
      </w:r>
    </w:p>
    <w:p w:rsidR="003F3435" w:rsidRDefault="0032493E">
      <w:pPr>
        <w:spacing w:line="480" w:lineRule="auto"/>
        <w:jc w:val="both"/>
      </w:pPr>
      <w:r>
        <w:t xml:space="preserve">Acts 1999, 76th Leg., ch. 388, Sec. 1, eff. Sept. 1, 1999.  Amended by Acts 2001, 77th Leg., ch. 1249,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252.010.</w:t>
      </w:r>
      <w:r xml:space="preserve">
        <w:t> </w:t>
      </w:r>
      <w:r xml:space="preserve">
        <w:t> </w:t>
      </w:r>
      <w:r>
        <w:t xml:space="preserve">BOARD MEMBER 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in a profession or business the board regulates; and</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On receipt of the training manual, each board member shall sign and submit to the executive director a statement acknowledging receipt of the training manual.</w:t>
      </w:r>
    </w:p>
    <w:p w:rsidR="003F3435" w:rsidRDefault="0032493E">
      <w:pPr>
        <w:spacing w:line="480" w:lineRule="auto"/>
        <w:jc w:val="both"/>
      </w:pPr>
      <w:r>
        <w:t xml:space="preserve">Acts 1999, 76th Leg., ch. 388, Sec. 1, eff. Sept. 1, 1999.  Amended by Acts 2003, 78th Leg., ch. 17,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295 (S.B. </w:t>
      </w:r>
      <w:hyperlink w:docLocation="table" r:id="rId18">
        <w:r>
          <w:rPr>
            <w:rStyle w:val="Hyperlink"/>
          </w:rPr>
          <w:t>313</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252.011.</w:t>
      </w:r>
      <w:r xml:space="preserve">
        <w:t> </w:t>
      </w:r>
      <w:r xml:space="preserve">
        <w:t> </w:t>
      </w:r>
      <w:r>
        <w:t xml:space="preserve">OATH OF OFFICE.  Before assuming the duties of office, each board member shall file with the secretary of state a copy of the constitutional oath of office taken by the member.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3F.HTM" TargetMode="External" Id="rId14" /><Relationship Type="http://schemas.openxmlformats.org/officeDocument/2006/relationships/hyperlink" Target="http://capitol.texas.gov/tlodocs/81R/billtext/html/SB00887F.HTM" TargetMode="External" Id="rId15" /><Relationship Type="http://schemas.openxmlformats.org/officeDocument/2006/relationships/hyperlink" Target="http://capitol.texas.gov/tlodocs/85R/billtext/html/SB00313F.HTM" TargetMode="External" Id="rId16" /><Relationship Type="http://schemas.openxmlformats.org/officeDocument/2006/relationships/hyperlink" Target="http://capitol.texas.gov/tlodocs/81R/billtext/html/SB00887F.HTM" TargetMode="External" Id="rId17" /><Relationship Type="http://schemas.openxmlformats.org/officeDocument/2006/relationships/hyperlink" Target="http://capitol.texas.gov/tlodocs/85R/billtext/html/SB0031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