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253. EXECUTIVE DIRECTOR AND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253.001.</w:t>
      </w:r>
      <w:r xml:space="preserve">
        <w:t> </w:t>
      </w:r>
      <w:r xml:space="preserve">
        <w:t> </w:t>
      </w:r>
      <w:r>
        <w:t xml:space="preserve">EXECUTIVE DIRECTOR.  (a)  The board may employ an executive director to assist the board in performing its duties.</w:t>
      </w:r>
    </w:p>
    <w:p w:rsidR="003F3435" w:rsidRDefault="0032493E">
      <w:pPr>
        <w:spacing w:line="480" w:lineRule="auto"/>
        <w:ind w:firstLine="720"/>
        <w:jc w:val="both"/>
      </w:pPr>
      <w:r>
        <w:t xml:space="preserve">(b)</w:t>
      </w:r>
      <w:r xml:space="preserve">
        <w:t> </w:t>
      </w:r>
      <w:r xml:space="preserve">
        <w:t> </w:t>
      </w:r>
      <w:r>
        <w:t xml:space="preserve">The board shall set the executive director's salary.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253.003.</w:t>
      </w:r>
      <w:r xml:space="preserve">
        <w:t> </w:t>
      </w:r>
      <w:r xml:space="preserve">
        <w:t> </w:t>
      </w:r>
      <w:r>
        <w:t xml:space="preserve">PERSONNEL.  (a)  The executive director, with the board's consent, may employ an assistant executive director to perform the executive director's duties when the executive director is absent or unable to act.</w:t>
      </w:r>
    </w:p>
    <w:p w:rsidR="003F3435" w:rsidRDefault="0032493E">
      <w:pPr>
        <w:spacing w:line="480" w:lineRule="auto"/>
        <w:ind w:firstLine="720"/>
        <w:jc w:val="both"/>
      </w:pPr>
      <w:r>
        <w:t xml:space="preserve">(b)</w:t>
      </w:r>
      <w:r xml:space="preserve">
        <w:t> </w:t>
      </w:r>
      <w:r xml:space="preserve">
        <w:t> </w:t>
      </w:r>
      <w:r>
        <w:t xml:space="preserve">The board may employ:</w:t>
      </w:r>
    </w:p>
    <w:p w:rsidR="003F3435" w:rsidRDefault="0032493E">
      <w:pPr>
        <w:spacing w:line="480" w:lineRule="auto"/>
        <w:ind w:firstLine="1440"/>
        <w:jc w:val="both"/>
      </w:pPr>
      <w:r>
        <w:t xml:space="preserve">(1)</w:t>
      </w:r>
      <w:r xml:space="preserve">
        <w:t> </w:t>
      </w:r>
      <w:r xml:space="preserve">
        <w:t> </w:t>
      </w:r>
      <w:r>
        <w:t xml:space="preserve">committees, clerks, advisors, consultants, dentists, hygienists, or examiners to assist the board in performing its duties;  and</w:t>
      </w:r>
    </w:p>
    <w:p w:rsidR="003F3435" w:rsidRDefault="0032493E">
      <w:pPr>
        <w:spacing w:line="480" w:lineRule="auto"/>
        <w:ind w:firstLine="1440"/>
        <w:jc w:val="both"/>
      </w:pPr>
      <w:r>
        <w:t xml:space="preserve">(2)</w:t>
      </w:r>
      <w:r xml:space="preserve">
        <w:t> </w:t>
      </w:r>
      <w:r xml:space="preserve">
        <w:t> </w:t>
      </w:r>
      <w:r>
        <w:t xml:space="preserve">other persons determined necessary:</w:t>
      </w:r>
    </w:p>
    <w:p w:rsidR="003F3435" w:rsidRDefault="0032493E">
      <w:pPr>
        <w:spacing w:line="480" w:lineRule="auto"/>
        <w:ind w:firstLine="2160"/>
        <w:jc w:val="both"/>
      </w:pPr>
      <w:r>
        <w:t xml:space="preserve">(A)</w:t>
      </w:r>
      <w:r xml:space="preserve">
        <w:t> </w:t>
      </w:r>
      <w:r xml:space="preserve">
        <w:t> </w:t>
      </w:r>
      <w:r>
        <w:t xml:space="preserve">to assist the local prosecuting officers of a county in the enforcement of state laws prohibiting the unlawful practice of dentistry;  and</w:t>
      </w:r>
    </w:p>
    <w:p w:rsidR="003F3435" w:rsidRDefault="0032493E">
      <w:pPr>
        <w:spacing w:line="480" w:lineRule="auto"/>
        <w:ind w:firstLine="2160"/>
        <w:jc w:val="both"/>
      </w:pPr>
      <w:r>
        <w:t xml:space="preserve">(B)</w:t>
      </w:r>
      <w:r xml:space="preserve">
        <w:t> </w:t>
      </w:r>
      <w:r xml:space="preserve">
        <w:t> </w:t>
      </w:r>
      <w:r>
        <w:t xml:space="preserve">to carry out other purposes for which funds are appropriated.</w:t>
      </w:r>
    </w:p>
    <w:p w:rsidR="003F3435" w:rsidRDefault="0032493E">
      <w:pPr>
        <w:spacing w:line="480" w:lineRule="auto"/>
        <w:ind w:firstLine="720"/>
        <w:jc w:val="both"/>
      </w:pPr>
      <w:r>
        <w:t xml:space="preserve">(c)</w:t>
      </w:r>
      <w:r xml:space="preserve">
        <w:t> </w:t>
      </w:r>
      <w:r xml:space="preserve">
        <w:t> </w:t>
      </w:r>
      <w:r>
        <w:t xml:space="preserve">The board shall employ other employees as needed to assist the executive director in performing the executive director's duties and in carrying out the purposes of this subtitle.</w:t>
      </w:r>
    </w:p>
    <w:p w:rsidR="003F3435" w:rsidRDefault="0032493E">
      <w:pPr>
        <w:spacing w:line="480" w:lineRule="auto"/>
        <w:ind w:firstLine="720"/>
        <w:jc w:val="both"/>
      </w:pPr>
      <w:r>
        <w:t xml:space="preserve">(d)</w:t>
      </w:r>
      <w:r xml:space="preserve">
        <w:t> </w:t>
      </w:r>
      <w:r xml:space="preserve">
        <w:t> </w:t>
      </w:r>
      <w:r>
        <w:t xml:space="preserve">A person assisting a local prosecuting officer under this section is subject to the direction and control of the prosecuting officer.  This subsection does not change the authority granted by law to the prosecuting officer.</w:t>
      </w:r>
    </w:p>
    <w:p w:rsidR="003F3435" w:rsidRDefault="0032493E">
      <w:pPr>
        <w:spacing w:line="480" w:lineRule="auto"/>
        <w:jc w:val="both"/>
      </w:pPr>
      <w:r>
        <w:t xml:space="preserve">Acts 1999, 76th Leg., ch. 388, Sec. 1, eff. Sept. 1, 1999.  Amended by Acts 2001, 77th Leg., ch. 1420, Sec. 14.073(a),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253.004.</w:t>
      </w:r>
      <w:r xml:space="preserve">
        <w:t> </w:t>
      </w:r>
      <w:r xml:space="preserve">
        <w:t> </w:t>
      </w:r>
      <w:r>
        <w:t xml:space="preserve">DIVISION OF RESPONSIBILITIES.  The board shall develop and implement policies that clearly define the responsibilities of the board and the staff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253.005.</w:t>
      </w:r>
      <w:r xml:space="preserve">
        <w:t> </w:t>
      </w:r>
      <w:r xml:space="preserve">
        <w:t> </w:t>
      </w:r>
      <w:r>
        <w:t xml:space="preserve">QUALIFICATIONS AND STANDARDS OF CONDUCT INFORMATION.  The board shall provide, as often as necessary, to its members and employees information regarding:</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subtitle;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253.006.</w:t>
      </w:r>
      <w:r xml:space="preserve">
        <w:t> </w:t>
      </w:r>
      <w:r xml:space="preserve">
        <w:t> </w:t>
      </w:r>
      <w:r>
        <w:t xml:space="preserve">CAREER LADDER PROGRAM;  PERFORMANCE EVALUATIONS.  (a)  The executive director or the executive director's designee shall develop an intra-agency career ladder program.  The program must require the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All merit pay for board employees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253.007.</w:t>
      </w:r>
      <w:r xml:space="preserve">
        <w:t> </w:t>
      </w:r>
      <w:r xml:space="preserve">
        <w:t> </w:t>
      </w:r>
      <w:r>
        <w:t xml:space="preserve">EQUAL OPPORTUNITY POLICY;  REPORT.  (a)  The executive director or the executive director's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board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