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553. EXECUTIVE DIRECTOR AND OTHER BOARD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553.001.</w:t>
      </w:r>
      <w:r xml:space="preserve">
        <w:t> </w:t>
      </w:r>
      <w:r xml:space="preserve">
        <w:t> </w:t>
      </w:r>
      <w:r>
        <w:t xml:space="preserve">EXECUTIVE DIRECTOR.  The board shall employ an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553.002.</w:t>
      </w:r>
      <w:r xml:space="preserve">
        <w:t> </w:t>
      </w:r>
      <w:r xml:space="preserve">
        <w:t> </w:t>
      </w:r>
      <w:r>
        <w:t xml:space="preserve">QUALIFICATIONS OF EXECUTIVE DIRECTOR.  The executive director must be a pharmacist.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553.003.</w:t>
      </w:r>
      <w:r xml:space="preserve">
        <w:t> </w:t>
      </w:r>
      <w:r xml:space="preserve">
        <w:t> </w:t>
      </w:r>
      <w:r>
        <w:t xml:space="preserve">GENERAL DUTIES OF EXECUTIVE DIRECTOR.  (a)  The executive director is an ex officio member of the board without vote.</w:t>
      </w:r>
    </w:p>
    <w:p w:rsidR="003F3435" w:rsidRDefault="0032493E">
      <w:pPr>
        <w:spacing w:line="480" w:lineRule="auto"/>
        <w:ind w:firstLine="720"/>
        <w:jc w:val="both"/>
      </w:pPr>
      <w:r>
        <w:t xml:space="preserve">(b)</w:t>
      </w:r>
      <w:r xml:space="preserve">
        <w:t> </w:t>
      </w:r>
      <w:r xml:space="preserve">
        <w:t> </w:t>
      </w:r>
      <w:r>
        <w:t xml:space="preserve">The executive director is a full-time employee of the board and shall:</w:t>
      </w:r>
    </w:p>
    <w:p w:rsidR="003F3435" w:rsidRDefault="0032493E">
      <w:pPr>
        <w:spacing w:line="480" w:lineRule="auto"/>
        <w:ind w:firstLine="1440"/>
        <w:jc w:val="both"/>
      </w:pPr>
      <w:r>
        <w:t xml:space="preserve">(1)</w:t>
      </w:r>
      <w:r xml:space="preserve">
        <w:t> </w:t>
      </w:r>
      <w:r xml:space="preserve">
        <w:t> </w:t>
      </w:r>
      <w:r>
        <w:t xml:space="preserve">serve as secretary to the board;</w:t>
      </w:r>
    </w:p>
    <w:p w:rsidR="003F3435" w:rsidRDefault="0032493E">
      <w:pPr>
        <w:spacing w:line="480" w:lineRule="auto"/>
        <w:ind w:firstLine="1440"/>
        <w:jc w:val="both"/>
      </w:pPr>
      <w:r>
        <w:t xml:space="preserve">(2)</w:t>
      </w:r>
      <w:r xml:space="preserve">
        <w:t> </w:t>
      </w:r>
      <w:r xml:space="preserve">
        <w:t> </w:t>
      </w:r>
      <w:r>
        <w:t xml:space="preserve">perform the regular administrative functions of the board and any other duty as the board directs; and</w:t>
      </w:r>
    </w:p>
    <w:p w:rsidR="003F3435" w:rsidRDefault="0032493E">
      <w:pPr>
        <w:spacing w:line="480" w:lineRule="auto"/>
        <w:ind w:firstLine="1440"/>
        <w:jc w:val="both"/>
      </w:pPr>
      <w:r>
        <w:t xml:space="preserve">(3)</w:t>
      </w:r>
      <w:r xml:space="preserve">
        <w:t> </w:t>
      </w:r>
      <w:r xml:space="preserve">
        <w:t> </w:t>
      </w:r>
      <w:r>
        <w:t xml:space="preserve">under the direction of the board, perform the duties required by this subtitle or designated by the board.</w:t>
      </w:r>
    </w:p>
    <w:p w:rsidR="003F3435" w:rsidRDefault="0032493E">
      <w:pPr>
        <w:spacing w:line="480" w:lineRule="auto"/>
        <w:ind w:firstLine="720"/>
        <w:jc w:val="both"/>
      </w:pPr>
      <w:r>
        <w:t xml:space="preserve">(c)</w:t>
      </w:r>
      <w:r xml:space="preserve">
        <w:t> </w:t>
      </w:r>
      <w:r xml:space="preserve">
        <w:t> </w:t>
      </w:r>
      <w:r>
        <w:t xml:space="preserve">The executive director may not perform a discretionary or decision-making function for which the board is solely responsible.</w:t>
      </w:r>
    </w:p>
    <w:p w:rsidR="003F3435" w:rsidRDefault="0032493E">
      <w:pPr>
        <w:spacing w:line="480" w:lineRule="auto"/>
        <w:ind w:firstLine="720"/>
        <w:jc w:val="both"/>
      </w:pPr>
      <w:r>
        <w:t xml:space="preserve">(d)</w:t>
      </w:r>
      <w:r xml:space="preserve">
        <w:t> </w:t>
      </w:r>
      <w:r xml:space="preserve">
        <w:t> </w:t>
      </w:r>
      <w:r>
        <w:t xml:space="preserve">The executive director shall keep the seal of the board.  The executive director may affix the seal only in the manner prescribed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485 (H.B. </w:t>
      </w:r>
      <w:hyperlink w:docLocation="table" r:id="rId14">
        <w:r>
          <w:rPr>
            <w:rStyle w:val="Hyperlink"/>
          </w:rPr>
          <w:t>2561</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553.004.</w:t>
      </w:r>
      <w:r xml:space="preserve">
        <w:t> </w:t>
      </w:r>
      <w:r xml:space="preserve">
        <w:t> </w:t>
      </w:r>
      <w:r>
        <w:t xml:space="preserve">PERSONNEL.  The board may employ persons in positions or capacities the board considers necessary to properly conduct the board's business and fulfill the board's responsibilities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553.005.</w:t>
      </w:r>
      <w:r xml:space="preserve">
        <w:t> </w:t>
      </w:r>
      <w:r xml:space="preserve">
        <w:t> </w:t>
      </w:r>
      <w:r>
        <w:t xml:space="preserve">EMPLOYEE RESTRICTIONS.  (a)  A person may not be an employee of the board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(b)</w:t>
      </w:r>
      <w:r xml:space="preserve">
        <w:t> </w:t>
      </w:r>
      <w:r xml:space="preserve">
        <w:t> </w:t>
      </w:r>
      <w:r>
        <w:t xml:space="preserve"> A person may not act as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5">
        <w:r>
          <w:rPr>
            <w:rStyle w:val="Hyperlink"/>
          </w:rPr>
          <w:t>410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553.006.</w:t>
      </w:r>
      <w:r xml:space="preserve">
        <w:t> </w:t>
      </w:r>
      <w:r xml:space="preserve">
        <w:t> </w:t>
      </w:r>
      <w:r>
        <w:t xml:space="preserve">POSSESSION BY EMPLOYEE OF REGULATED SUBSTANCE.  A board employee may possess a dangerous drug or controlled substance when acting in the employee's official capacity.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553.007.</w:t>
      </w:r>
      <w:r xml:space="preserve">
        <w:t> </w:t>
      </w:r>
      <w:r xml:space="preserve">
        <w:t> </w:t>
      </w:r>
      <w:r>
        <w:t xml:space="preserve">DIVISION OF RESPONSIBILITIES.  The board shall develop and implement policies that clearly define the responsibilities of the board and the staff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553.008.</w:t>
      </w:r>
      <w:r xml:space="preserve">
        <w:t> </w:t>
      </w:r>
      <w:r xml:space="preserve">
        <w:t> </w:t>
      </w:r>
      <w:r>
        <w:t xml:space="preserve">QUALIFICATIONS AND STANDARDS OF CONDUCT INFORMATION.  The board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subtitle;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553.009.</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All merit pay for board employees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553.010.</w:t>
      </w:r>
      <w:r xml:space="preserve">
        <w:t> </w:t>
      </w:r>
      <w:r xml:space="preserve">
        <w:t> </w:t>
      </w:r>
      <w:r>
        <w:t xml:space="preserve">EQUAL EMPLOYMENT OPPORTUNITY POLICY;  REPORT.  (a)  The executive director or the executive director's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related to recruitment, evaluation, selection, appointment, training, and promotion of personnel that are in compliance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board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561F.HTM" TargetMode="External" Id="rId14" /><Relationship Type="http://schemas.openxmlformats.org/officeDocument/2006/relationships/hyperlink" Target="http://capitol.texas.gov/tlodocs/79R/billtext/html/SB0041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