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2. GENERAL PROVISIONS RELATING TO LICENSING</w:t>
      </w:r>
    </w:p>
    <w:p w:rsidR="003F3435" w:rsidRDefault="0032493E">
      <w:pPr>
        <w:spacing w:line="480" w:lineRule="auto"/>
        <w:jc w:val="center"/>
      </w:pPr>
      <w:r>
        <w:t xml:space="preserve">CHAPTER 60.  DIGITAL LICENSES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"Licensing authority" means a state agency, county, or municipality that is authorized to issue an occupational license.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"Occupational license" means a license, certificate, registration, permit, or other form of authorization required by statute, ordinance, order, or rule that must be obtained by an individual to engage in a particular business, occupation, or profession.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719 (H.B. </w:t>
      </w:r>
      <w:hyperlink w:docLocation="table" r:id="rId14">
        <w:r>
          <w:rPr>
            <w:rStyle w:val="Hyperlink"/>
          </w:rPr>
          <w:t>2453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60.002.</w:t>
      </w:r>
      <w:r xml:space="preserve">
        <w:t> </w:t>
      </w:r>
      <w:r xml:space="preserve">
        <w:t> </w:t>
      </w:r>
      <w:r>
        <w:t xml:space="preserve">REQUIREMENTS FOR DIGITAL LICENSES.</w:t>
      </w:r>
      <w:r xml:space="preserve">
        <w:t> </w:t>
      </w:r>
      <w:r xml:space="preserve">
        <w:t> </w:t>
      </w:r>
      <w:r>
        <w:t xml:space="preserve">A licensing authority that issues an occupational license may issue a digital license to a license holder.</w:t>
      </w:r>
      <w:r xml:space="preserve">
        <w:t> </w:t>
      </w:r>
      <w:r xml:space="preserve">
        <w:t> </w:t>
      </w:r>
      <w:r>
        <w:t xml:space="preserve">If the licensing authority issues a digital license, the digital license must comply with the following requirements: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digital license must be in a secure format and readily accessible by the license holder through an Internet website and on a wireless communication device;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public must be able to view a license holder's digital license through an Internet website or by using a QR code as defined by Section </w:t>
      </w:r>
      <w:r>
        <w:t xml:space="preserve">443.001</w:t>
      </w:r>
      <w:r>
        <w:t xml:space="preserve">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if the authority contracts with a vendor for the issuance of a digital license, the digital license must be in a format in which the vendor and authority can verify the validity of the license.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719 (H.B. </w:t>
      </w:r>
      <w:hyperlink w:docLocation="table" r:id="rId15">
        <w:r>
          <w:rPr>
            <w:rStyle w:val="Hyperlink"/>
          </w:rPr>
          <w:t>2453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453F.HTM" TargetMode="External" Id="rId14" /><Relationship Type="http://schemas.openxmlformats.org/officeDocument/2006/relationships/hyperlink" Target="http://capitol.texas.gov/tlodocs/88R/billtext/html/HB02453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