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11. RESTRICTIVE COVENANTS</w:t>
      </w:r>
    </w:p>
    <w:p w:rsidR="003F3435" w:rsidRDefault="0032493E">
      <w:pPr>
        <w:spacing w:line="480" w:lineRule="auto"/>
        <w:jc w:val="center"/>
      </w:pPr>
      <w:r>
        <w:t xml:space="preserve">CHAPTER 214.  AMENDMENT OF DEDICATORY INSTRUMENTS OF CERTAIN MIXED-USE REAL ESTATE DEVELOPMENTS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214.001.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"Current developer" means an owner of one or more tracts or lots in a mixed-use real estate development, or the owner's affiliate,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the current declarant in the declaration governing the development;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currently holds the developer rights for the development.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"Declaration" means an instrument filed in the real property records of a county that includes restrictive covenants governing a real estate development.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"Dedicatory instrument" has the meaning assigned by Section </w:t>
      </w:r>
      <w:r>
        <w:t xml:space="preserve">202.001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"Mixed-use real estate development" means a real estate development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at least 200 acres and not more than 250 acres of deed-restricted property composed of at least 10 separate tracts or parcels of property;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includes: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commercial properties, including hotel and retail properties, that constitute at least 70 percent of the total land area of the development;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office properties that constitute at least 50 percent of the total land area of the development;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may include other real estate uses;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is governed by a property owners' association;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is subject to a dedicatory instrument that: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requires mandatory membership in the property owners' association;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authorizes the property owners' association to collect a regular assessment on all or a majority of the property in the development;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requires the approval of owners of more than:</w:t>
      </w:r>
    </w:p>
    <w:p w:rsidR="003F3435" w:rsidRDefault="0032493E">
      <w:pPr>
        <w:spacing w:line="480" w:lineRule="auto"/>
        <w:ind w:firstLine="360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90 percent of the ground area constituting the development to change a provision of the dedicatory instrument governing the permitted use of a property; or</w:t>
      </w:r>
    </w:p>
    <w:p w:rsidR="003F3435" w:rsidRDefault="0032493E">
      <w:pPr>
        <w:spacing w:line="480" w:lineRule="auto"/>
        <w:ind w:firstLine="360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60 percent of the ground area constituting the development to change a provision of the dedicatory instrument that is not related to the permitted use of a property;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provides that voting for an amendment is based on the number of acres owned by each owner.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"Property owners' association" has the meaning assigned by Section </w:t>
      </w:r>
      <w:r>
        <w:t xml:space="preserve">202.001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1228 (S.B. </w:t>
      </w:r>
      <w:hyperlink w:docLocation="table" r:id="rId14">
        <w:r>
          <w:rPr>
            <w:rStyle w:val="Hyperlink"/>
          </w:rPr>
          <w:t>1845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214.002.</w:t>
      </w:r>
      <w:r xml:space="preserve">
        <w:t> </w:t>
      </w:r>
      <w:r xml:space="preserve">
        <w:t> </w:t>
      </w:r>
      <w:r>
        <w:t xml:space="preserve">APPLICABILITY OF CHAPTER.  (a)</w:t>
      </w:r>
      <w:r xml:space="preserve">
        <w:t> </w:t>
      </w:r>
      <w:r xml:space="preserve">
        <w:t> </w:t>
      </w:r>
      <w:r>
        <w:t xml:space="preserve">This chapter applies only to a mixed-use real estate development that is located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two million or more;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county with a population of 3.3 million or more.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mixed-use real estate development that includes single-family residential properties;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condominium subject to Chapter </w:t>
      </w:r>
      <w:r>
        <w:t xml:space="preserve">81</w:t>
      </w:r>
      <w:r>
        <w:t xml:space="preserve"> or </w:t>
      </w:r>
      <w:r>
        <w:t xml:space="preserve">82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chapter applies to a dedicatory instrument regardless of the date on which the dedicatory instrument was created.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1228 (S.B. </w:t>
      </w:r>
      <w:hyperlink w:docLocation="table" r:id="rId15">
        <w:r>
          <w:rPr>
            <w:rStyle w:val="Hyperlink"/>
          </w:rPr>
          <w:t>1845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214.003.</w:t>
      </w:r>
      <w:r xml:space="preserve">
        <w:t> </w:t>
      </w:r>
      <w:r xml:space="preserve">
        <w:t> </w:t>
      </w:r>
      <w:r>
        <w:t xml:space="preserve">AMENDMENT OF DEDICATORY INSTRUMENT.  (a)</w:t>
      </w:r>
      <w:r xml:space="preserve">
        <w:t> </w:t>
      </w:r>
      <w:r xml:space="preserve">
        <w:t> </w:t>
      </w:r>
      <w:r>
        <w:t xml:space="preserve">This section supersedes any conflicting requirement in a dedicatory instrument of a mixed-use real estate development.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the extent of any conflict with another provision of this title, this section prevails.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as provided by Subsection (d), a declaration of a mixed-use real estate development may be amended only by a vote of a majority of the total votes allocated to property owners entitled to vote on the amendment of the declaration.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If the declaration contains a lower approval requirement than prescribed by Subsection (c), the approval requirement in the declaration controls.</w:t>
      </w:r>
      <w:r xml:space="preserve">
        <w:t> </w:t>
      </w:r>
      <w:r xml:space="preserve">
        <w:t> </w:t>
      </w:r>
      <w:r>
        <w:t xml:space="preserve">If the declaration is silent as to voting rights for an amendment, the declaration may be amended by a vote of a majority of the total votes allocated to property owners entitled to vote on the amendment of the declaration.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While the mixed-use real estate development has a current developer, an amendment made to the declaration under this section requires the current developer to consent to the amendment to be valid.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bylaw of a mixed-use real estate development may not be amended to conflict with this section.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1228 (S.B. </w:t>
      </w:r>
      <w:hyperlink w:docLocation="table" r:id="rId16">
        <w:r>
          <w:rPr>
            <w:rStyle w:val="Hyperlink"/>
          </w:rPr>
          <w:t>1845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1845F.HTM" TargetMode="External" Id="rId14" /><Relationship Type="http://schemas.openxmlformats.org/officeDocument/2006/relationships/hyperlink" Target="http://capitol.texas.gov/tlodocs/86R/billtext/html/SB01845F.HTM" TargetMode="External" Id="rId15" /><Relationship Type="http://schemas.openxmlformats.org/officeDocument/2006/relationships/hyperlink" Target="http://capitol.texas.gov/tlodocs/86R/billtext/html/SB01845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