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4. ACTIONS AND REMEDIES</w:t>
      </w:r>
    </w:p>
    <w:p w:rsidR="003F3435" w:rsidRDefault="0032493E">
      <w:pPr>
        <w:spacing w:line="480" w:lineRule="auto"/>
        <w:jc w:val="center"/>
      </w:pPr>
      <w:r>
        <w:t xml:space="preserve">CHAPTER 30.  WRIT OF ASSISTANCE FOR REPOSSESSION OF AIRCRAFT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30.01.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"Aircraft" means a self-propelled motor vehicle that can be used to transport a person by flight in the air.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"Repossession" means the recovery of an aircraft that has been sold under a security agreement containing a repossession clause authorizing the lender to recover the aircraft if the borrower defaults under the agreement.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"Repossession agent" means an individual who is authorized to engage in a repossession for a lender.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1125 (H.B. </w:t>
      </w:r>
      <w:hyperlink w:docLocation="table" r:id="rId14">
        <w:r>
          <w:rPr>
            <w:rStyle w:val="Hyperlink"/>
          </w:rPr>
          <w:t>3901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30.02.</w:t>
      </w:r>
      <w:r xml:space="preserve">
        <w:t> </w:t>
      </w:r>
      <w:r xml:space="preserve">
        <w:t> </w:t>
      </w:r>
      <w:r>
        <w:t xml:space="preserve">WRIT OF ASSISTANCE FOR REPOSSESSION OF AIRCRAFT.  (a)</w:t>
      </w:r>
      <w:r xml:space="preserve">
        <w:t> </w:t>
      </w:r>
      <w:r xml:space="preserve">
        <w:t> </w:t>
      </w:r>
      <w:r>
        <w:t xml:space="preserve">A writ of assistance for the repossession of an aircraft authorizes a peace officer to assist and protect a repossession agent in gaining possession of the aircraft while the agent: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secures the aircraft on site;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prepares the aircraft, which may include a mechanical inspection, for removal from the site by flight or otherwise to another location.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writ of assistance for the repossession of an aircraft is valid for 30 days.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justice court may grant unlimited extensions of a writ of assistance issued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1125 (H.B. </w:t>
      </w:r>
      <w:hyperlink w:docLocation="table" r:id="rId15">
        <w:r>
          <w:rPr>
            <w:rStyle w:val="Hyperlink"/>
          </w:rPr>
          <w:t>3901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30.03.</w:t>
      </w:r>
      <w:r xml:space="preserve">
        <w:t> </w:t>
      </w:r>
      <w:r xml:space="preserve">
        <w:t> </w:t>
      </w:r>
      <w:r>
        <w:t xml:space="preserve">PETITION FOR WRIT OF ASSISTANCE.  (a)</w:t>
      </w:r>
      <w:r xml:space="preserve">
        <w:t> </w:t>
      </w:r>
      <w:r xml:space="preserve">
        <w:t> </w:t>
      </w:r>
      <w:r>
        <w:t xml:space="preserve">A repossession agent may file a petition in a justice court for a writ of assistance for the repossession of an aircraft.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repossession agent is entitled to the writ if the repossession agent establishes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aircraft is subject to the proposed repossession;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repossession agent is authorized to engage in the repossession.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petition for the writ must include a copy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security agreement relating to the aircraft;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notice of default under the security agreement sent by the lender to the borrower;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instrument in which a power of attorney for the repossession is granted to the repossession agent by the lender;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results of a title search of the Federal Aviation Administration's records for the aircraft.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1125 (H.B. </w:t>
      </w:r>
      <w:hyperlink w:docLocation="table" r:id="rId16">
        <w:r>
          <w:rPr>
            <w:rStyle w:val="Hyperlink"/>
          </w:rPr>
          <w:t>3901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3901F.HTM" TargetMode="External" Id="rId14" /><Relationship Type="http://schemas.openxmlformats.org/officeDocument/2006/relationships/hyperlink" Target="http://capitol.texas.gov/tlodocs/84R/billtext/html/HB03901F.HTM" TargetMode="External" Id="rId15" /><Relationship Type="http://schemas.openxmlformats.org/officeDocument/2006/relationships/hyperlink" Target="http://capitol.texas.gov/tlodocs/84R/billtext/html/HB03901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