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5. EXEMPT PROPERTY AND LIENS</w:t>
      </w:r>
    </w:p>
    <w:p w:rsidR="003F3435" w:rsidRDefault="0032493E">
      <w:pPr>
        <w:spacing w:line="480" w:lineRule="auto"/>
        <w:jc w:val="center"/>
      </w:pPr>
      <w:r>
        <w:t xml:space="preserve">SUBTITLE B. LIENS</w:t>
      </w:r>
    </w:p>
    <w:p w:rsidR="003F3435" w:rsidRDefault="0032493E">
      <w:pPr>
        <w:spacing w:line="480" w:lineRule="auto"/>
        <w:jc w:val="center"/>
      </w:pPr>
      <w:r>
        <w:t xml:space="preserve">CHAPTER 65.  AUTHORITY OF CO-OWNER TO ENCUMBER RESIDENTIAL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65.001.</w:t>
      </w:r>
      <w:r xml:space="preserve">
        <w:t> </w:t>
      </w:r>
      <w:r xml:space="preserve">
        <w:t> </w:t>
      </w:r>
      <w:r>
        <w:t xml:space="preserve">APPLICATION OF CHAPTER.</w:t>
      </w:r>
      <w:r xml:space="preserve">
        <w:t> </w:t>
      </w:r>
      <w:r xml:space="preserve">
        <w:t> </w:t>
      </w:r>
      <w:r>
        <w:t xml:space="preserve">This chapter applies only to residential property: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that has residential improvements primarily designed for not more than four families;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is not more than 10 acres of land;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is owned by more than one person;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for which at least one co-owner has received a residence homestead exemption under Section </w:t>
      </w:r>
      <w:r>
        <w:t xml:space="preserve">11.13</w:t>
      </w:r>
      <w:r>
        <w:t xml:space="preserve">, Tax Code.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918 (S.B. </w:t>
      </w:r>
      <w:hyperlink w:docLocation="table" r:id="rId14">
        <w:r>
          <w:rPr>
            <w:rStyle w:val="Hyperlink"/>
          </w:rPr>
          <w:t>1368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  <w:r>
        <w:t xml:space="preserve">Redesignated from Property Code, Chapter </w:t>
      </w:r>
      <w:r>
        <w:t xml:space="preserve">64</w:t>
      </w:r>
      <w:r>
        <w:t xml:space="preserve"> by Acts 2013, 83rd Leg., R.S., Ch. 161 (S.B. </w:t>
      </w:r>
      <w:hyperlink w:docLocation="table" r:id="rId15">
        <w:r>
          <w:rPr>
            <w:rStyle w:val="Hyperlink"/>
          </w:rPr>
          <w:t>1093</w:t>
        </w:r>
      </w:hyperlink>
      <w:r>
        <w:t xml:space="preserve">), Sec. 22.001(39),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65.0011.</w:t>
      </w:r>
      <w:r xml:space="preserve">
        <w:t> </w:t>
      </w:r>
      <w:r xml:space="preserve">
        <w:t> </w:t>
      </w:r>
      <w:r>
        <w:t xml:space="preserve">APPLICATION TO INSTITUTIONS OF HIGHER EDUCATION. </w:t>
      </w:r>
      <w:r xml:space="preserve">
        <w:t> </w:t>
      </w:r>
      <w:r xml:space="preserve">
        <w:t> </w:t>
      </w:r>
      <w:r>
        <w:t xml:space="preserve">This chapter does not apply to residential property for which an institution of higher education is a co-owner.</w:t>
      </w:r>
    </w:p>
    <w:p w:rsidR="003F3435" w:rsidRDefault="0032493E">
      <w:pPr>
        <w:spacing w:line="480" w:lineRule="auto"/>
        <w:jc w:val="both"/>
      </w:pPr>
      <w:r>
        <w:t xml:space="preserve">Redesignated from Property Code, Chapter 64 by Acts 2013, 83rd Leg., R.S., Ch. 161 (S.B. </w:t>
      </w:r>
      <w:hyperlink w:docLocation="table" r:id="rId16">
        <w:r>
          <w:rPr>
            <w:rStyle w:val="Hyperlink"/>
          </w:rPr>
          <w:t>1093</w:t>
        </w:r>
      </w:hyperlink>
      <w:r>
        <w:t xml:space="preserve">), Sec. 22.001(39), eff. September 1, 2013.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1366 (S.B. </w:t>
      </w:r>
      <w:hyperlink w:docLocation="table" r:id="rId17">
        <w:r>
          <w:rPr>
            <w:rStyle w:val="Hyperlink"/>
          </w:rPr>
          <w:t>1604</w:t>
        </w:r>
      </w:hyperlink>
      <w:r>
        <w:t xml:space="preserve">), Sec. 2,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65.002.</w:t>
      </w:r>
      <w:r xml:space="preserve">
        <w:t> </w:t>
      </w:r>
      <w:r xml:space="preserve">
        <w:t> </w:t>
      </w:r>
      <w:r>
        <w:t xml:space="preserve">CONDITIONS FOR AUTHORITY TO ACT AS AGENT FOR CO-OWNER.</w:t>
      </w:r>
      <w:r xml:space="preserve">
        <w:t> </w:t>
      </w:r>
      <w:r xml:space="preserve">
        <w:t> </w:t>
      </w:r>
      <w:r>
        <w:t xml:space="preserve">A co-owner of residential property may act in the name of and on behalf of another co-owner, whether known or unknown, as the co-owner's statutory agent and attorney-in-fact for the purposes described by Section </w:t>
      </w:r>
      <w:r>
        <w:t xml:space="preserve">65.004</w:t>
      </w:r>
      <w:r>
        <w:t xml:space="preserve">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co-owner has occupied the property for more than five years;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co-owner has a residence homestead exemption for the property under Section </w:t>
      </w:r>
      <w:r>
        <w:t xml:space="preserve">11.13</w:t>
      </w:r>
      <w:r>
        <w:t xml:space="preserve">, Tax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for the five years preceding the date the documents required by Section </w:t>
      </w:r>
      <w:r>
        <w:t xml:space="preserve">65.003</w:t>
      </w:r>
      <w:r>
        <w:t xml:space="preserve"> are filed, the occupying co-owner has paid all assessed ad valorem taxes without delinquency and without contribution from the other co-owner;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occupying co-owner files the documents required by Section </w:t>
      </w:r>
      <w:r>
        <w:t xml:space="preserve">65.003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918 (S.B. </w:t>
      </w:r>
      <w:hyperlink w:docLocation="table" r:id="rId18">
        <w:r>
          <w:rPr>
            <w:rStyle w:val="Hyperlink"/>
          </w:rPr>
          <w:t>1368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  <w:r>
        <w:t xml:space="preserve">Redesignated from Property Code, Chapter </w:t>
      </w:r>
      <w:r>
        <w:t xml:space="preserve">64</w:t>
      </w:r>
      <w:r>
        <w:t xml:space="preserve"> by Acts 2013, 83rd Leg., R.S., Ch. 161 (S.B. </w:t>
      </w:r>
      <w:hyperlink w:docLocation="table" r:id="rId19">
        <w:r>
          <w:rPr>
            <w:rStyle w:val="Hyperlink"/>
          </w:rPr>
          <w:t>1093</w:t>
        </w:r>
      </w:hyperlink>
      <w:r>
        <w:t xml:space="preserve">), Sec. </w:t>
      </w:r>
      <w:r>
        <w:t xml:space="preserve">22.001</w:t>
      </w:r>
      <w:r>
        <w:t xml:space="preserve">(39), eff. September 1, 2013.</w:t>
      </w:r>
    </w:p>
    <w:p w:rsidR="003F3435" w:rsidRDefault="0032493E">
      <w:pPr>
        <w:spacing w:line="480" w:lineRule="auto"/>
        <w:jc w:val="both"/>
      </w:pPr>
      <w:r>
        <w:t xml:space="preserve">Redesignated and amended from Property Code, Section </w:t>
      </w:r>
      <w:r>
        <w:t xml:space="preserve">64.002</w:t>
      </w:r>
      <w:r>
        <w:t xml:space="preserve"> by Acts 2013, 83rd Leg., R.S., Ch. 161 (S.B. </w:t>
      </w:r>
      <w:hyperlink w:docLocation="table" r:id="rId20">
        <w:r>
          <w:rPr>
            <w:rStyle w:val="Hyperlink"/>
          </w:rPr>
          <w:t>1093</w:t>
        </w:r>
      </w:hyperlink>
      <w:r>
        <w:t xml:space="preserve">), Sec. 22.002(29),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65.003.</w:t>
      </w:r>
      <w:r xml:space="preserve">
        <w:t> </w:t>
      </w:r>
      <w:r xml:space="preserve">
        <w:t> </w:t>
      </w:r>
      <w:r>
        <w:t xml:space="preserve">REQUIRED DOCUMENTATION.</w:t>
      </w:r>
      <w:r xml:space="preserve">
        <w:t> </w:t>
      </w:r>
      <w:r xml:space="preserve">
        <w:t> </w:t>
      </w:r>
      <w:r>
        <w:t xml:space="preserve">The occupying co-owner may establish the authority to act as an agent and attorney-in-fact for another co-owner by filing in the office of the county clerk of the county in which the real property is located: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affidavit of the occupying co-owner affirming the facts described by Sections </w:t>
      </w:r>
      <w:r>
        <w:t xml:space="preserve">65.002</w:t>
      </w:r>
      <w:r>
        <w:t xml:space="preserve">(1)-(3);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affidavits of two additional affiants personally familiar with the co-owner's occupancy of the real property corroborating the occupancy during the preceding five years;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certificate of the tax assessor-collector for the county in which the real property is located affirming that the co-owner has paid all taxes assessed against the real property for the preceding five years without delinquency.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918 (S.B. </w:t>
      </w:r>
      <w:hyperlink w:docLocation="table" r:id="rId21">
        <w:r>
          <w:rPr>
            <w:rStyle w:val="Hyperlink"/>
          </w:rPr>
          <w:t>1368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  <w:r>
        <w:t xml:space="preserve">Redesignated from Property Code, Chapter </w:t>
      </w:r>
      <w:r>
        <w:t xml:space="preserve">64</w:t>
      </w:r>
      <w:r>
        <w:t xml:space="preserve"> by Acts 2013, 83rd Leg., R.S., Ch. 161 (S.B. </w:t>
      </w:r>
      <w:hyperlink w:docLocation="table" r:id="rId22">
        <w:r>
          <w:rPr>
            <w:rStyle w:val="Hyperlink"/>
          </w:rPr>
          <w:t>1093</w:t>
        </w:r>
      </w:hyperlink>
      <w:r>
        <w:t xml:space="preserve">), Sec. </w:t>
      </w:r>
      <w:r>
        <w:t xml:space="preserve">22.001</w:t>
      </w:r>
      <w:r>
        <w:t xml:space="preserve">(39), eff. September 1, 2013.</w:t>
      </w:r>
    </w:p>
    <w:p w:rsidR="003F3435" w:rsidRDefault="0032493E">
      <w:pPr>
        <w:spacing w:line="480" w:lineRule="auto"/>
        <w:jc w:val="both"/>
      </w:pPr>
      <w:r>
        <w:t xml:space="preserve">Redesignated and amended from Property Code, Section 64.003 by Acts 2013, 83rd Leg., R.S., Ch. 161 (S.B. </w:t>
      </w:r>
      <w:hyperlink w:docLocation="table" r:id="rId23">
        <w:r>
          <w:rPr>
            <w:rStyle w:val="Hyperlink"/>
          </w:rPr>
          <w:t>1093</w:t>
        </w:r>
      </w:hyperlink>
      <w:r>
        <w:t xml:space="preserve">), Sec. 22.002(30),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65.004.</w:t>
      </w:r>
      <w:r xml:space="preserve">
        <w:t> </w:t>
      </w:r>
      <w:r xml:space="preserve">
        <w:t> </w:t>
      </w:r>
      <w:r>
        <w:t xml:space="preserve">SCOPE OF AUTHORITY.  (a)</w:t>
      </w:r>
      <w:r xml:space="preserve">
        <w:t> </w:t>
      </w:r>
      <w:r xml:space="preserve">
        <w:t> </w:t>
      </w:r>
      <w:r>
        <w:t xml:space="preserve">The authority of the occupying co-owner to act as an agent and attorney-in-fact is limited to the authority to enter into a contract giving rise to a mechanic's and materialman's lien and to execute a deed of trust for the purpose of preserving or improving the residential property.</w:t>
      </w:r>
      <w:r xml:space="preserve">
        <w:t> </w:t>
      </w:r>
      <w:r xml:space="preserve">
        <w:t> </w:t>
      </w:r>
      <w:r>
        <w:t xml:space="preserve">The occupying co-owner is the sole obligor of the debt incurred under the contract and secured by the deed of trust.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lien that arises under a contract entered into by an occupying co-owner under this section is not subject to repudiation or disaffirmance by another co-owner.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918 (S.B. </w:t>
      </w:r>
      <w:hyperlink w:docLocation="table" r:id="rId24">
        <w:r>
          <w:rPr>
            <w:rStyle w:val="Hyperlink"/>
          </w:rPr>
          <w:t>1368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  <w:r>
        <w:t xml:space="preserve">Redesignated from Property Code, Chapter </w:t>
      </w:r>
      <w:r>
        <w:t xml:space="preserve">64</w:t>
      </w:r>
      <w:r>
        <w:t xml:space="preserve"> by Acts 2013, 83rd Leg., R.S., Ch. 161 (S.B. </w:t>
      </w:r>
      <w:hyperlink w:docLocation="table" r:id="rId25">
        <w:r>
          <w:rPr>
            <w:rStyle w:val="Hyperlink"/>
          </w:rPr>
          <w:t>1093</w:t>
        </w:r>
      </w:hyperlink>
      <w:r>
        <w:t xml:space="preserve">), Sec. 22.001(39),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368F.HTM" TargetMode="External" Id="rId14" /><Relationship Type="http://schemas.openxmlformats.org/officeDocument/2006/relationships/hyperlink" Target="http://capitol.texas.gov/tlodocs/83R/billtext/html/SB01093F.HTM" TargetMode="External" Id="rId15" /><Relationship Type="http://schemas.openxmlformats.org/officeDocument/2006/relationships/hyperlink" Target="http://capitol.texas.gov/tlodocs/83R/billtext/html/SB01093F.HTM" TargetMode="External" Id="rId16" /><Relationship Type="http://schemas.openxmlformats.org/officeDocument/2006/relationships/hyperlink" Target="http://capitol.texas.gov/tlodocs/83R/billtext/html/SB01604F.HTM" TargetMode="External" Id="rId17" /><Relationship Type="http://schemas.openxmlformats.org/officeDocument/2006/relationships/hyperlink" Target="http://capitol.texas.gov/tlodocs/82R/billtext/html/SB01368F.HTM" TargetMode="External" Id="rId18" /><Relationship Type="http://schemas.openxmlformats.org/officeDocument/2006/relationships/hyperlink" Target="http://capitol.texas.gov/tlodocs/83R/billtext/html/SB01093F.HTM" TargetMode="External" Id="rId19" /><Relationship Type="http://schemas.openxmlformats.org/officeDocument/2006/relationships/hyperlink" Target="http://capitol.texas.gov/tlodocs/83R/billtext/html/SB01093F.HTM" TargetMode="External" Id="rId20" /><Relationship Type="http://schemas.openxmlformats.org/officeDocument/2006/relationships/hyperlink" Target="http://capitol.texas.gov/tlodocs/82R/billtext/html/SB01368F.HTM" TargetMode="External" Id="rId21" /><Relationship Type="http://schemas.openxmlformats.org/officeDocument/2006/relationships/hyperlink" Target="http://capitol.texas.gov/tlodocs/83R/billtext/html/SB01093F.HTM" TargetMode="External" Id="rId22" /><Relationship Type="http://schemas.openxmlformats.org/officeDocument/2006/relationships/hyperlink" Target="http://capitol.texas.gov/tlodocs/83R/billtext/html/SB01093F.HTM" TargetMode="External" Id="rId23" /><Relationship Type="http://schemas.openxmlformats.org/officeDocument/2006/relationships/hyperlink" Target="http://capitol.texas.gov/tlodocs/82R/billtext/html/SB01368F.HTM" TargetMode="External" Id="rId24" /><Relationship Type="http://schemas.openxmlformats.org/officeDocument/2006/relationships/hyperlink" Target="http://capitol.texas.gov/tlodocs/83R/billtext/html/SB01093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